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eastAsia="黑体"/>
          <w:color w:val="222222"/>
          <w:sz w:val="32"/>
          <w:szCs w:val="32"/>
          <w:lang w:bidi="ar"/>
        </w:rPr>
      </w:pPr>
      <w:r>
        <w:rPr>
          <w:rFonts w:eastAsia="黑体"/>
          <w:color w:val="222222"/>
          <w:sz w:val="32"/>
          <w:szCs w:val="32"/>
          <w:lang w:bidi="ar"/>
        </w:rPr>
        <w:t>附件</w:t>
      </w:r>
      <w:r>
        <w:rPr>
          <w:rFonts w:hint="eastAsia" w:eastAsia="黑体"/>
          <w:color w:val="222222"/>
          <w:sz w:val="32"/>
          <w:szCs w:val="32"/>
          <w:lang w:val="en-US" w:eastAsia="zh-CN" w:bidi="ar"/>
        </w:rPr>
        <w:t>1</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eastAsia="方正小标宋简体"/>
          <w:sz w:val="44"/>
          <w:szCs w:val="44"/>
        </w:rPr>
      </w:pPr>
      <w:bookmarkStart w:id="0" w:name="_GoBack"/>
      <w:r>
        <w:rPr>
          <w:rFonts w:eastAsia="方正小标宋简体"/>
          <w:sz w:val="44"/>
          <w:szCs w:val="44"/>
        </w:rPr>
        <w:t>2018年度治疆方略理论与实践研究</w:t>
      </w:r>
      <w:r>
        <w:rPr>
          <w:rFonts w:hint="eastAsia" w:eastAsia="方正小标宋简体"/>
          <w:sz w:val="44"/>
          <w:szCs w:val="44"/>
        </w:rPr>
        <w:t>课题指南</w:t>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eastAsia="方正小标宋简体"/>
          <w:sz w:val="44"/>
          <w:szCs w:val="44"/>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黑体"/>
          <w:sz w:val="32"/>
          <w:szCs w:val="32"/>
        </w:rPr>
      </w:pPr>
      <w:r>
        <w:rPr>
          <w:rFonts w:eastAsia="黑体"/>
          <w:sz w:val="32"/>
          <w:szCs w:val="32"/>
        </w:rPr>
        <w:t>重点课题</w:t>
      </w:r>
      <w:r>
        <w:rPr>
          <w:rFonts w:hint="eastAsia" w:eastAsia="黑体"/>
          <w:sz w:val="32"/>
          <w:szCs w:val="32"/>
        </w:rPr>
        <w:t>（31个）</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马克思主义中国化时代化大众化的时代意蕴与实现路径研究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以习近平同志为核心党中央治疆方略研究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关于习近平治疆方略的历史逻辑、理论逻辑和实践逻辑研究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w:t>
      </w:r>
      <w:r>
        <w:rPr>
          <w:rFonts w:eastAsia="仿宋_GB2312"/>
          <w:sz w:val="32"/>
          <w:szCs w:val="32"/>
        </w:rPr>
        <w:t>依法治疆</w:t>
      </w:r>
      <w:r>
        <w:rPr>
          <w:rFonts w:hint="eastAsia" w:eastAsia="仿宋_GB2312"/>
          <w:sz w:val="32"/>
          <w:szCs w:val="32"/>
        </w:rPr>
        <w:t>、</w:t>
      </w:r>
      <w:r>
        <w:rPr>
          <w:rFonts w:eastAsia="仿宋_GB2312"/>
          <w:sz w:val="32"/>
          <w:szCs w:val="32"/>
        </w:rPr>
        <w:t>团结稳疆</w:t>
      </w:r>
      <w:r>
        <w:rPr>
          <w:rFonts w:hint="eastAsia" w:eastAsia="仿宋_GB2312"/>
          <w:sz w:val="32"/>
          <w:szCs w:val="32"/>
        </w:rPr>
        <w:t>、</w:t>
      </w:r>
      <w:r>
        <w:rPr>
          <w:rFonts w:eastAsia="仿宋_GB2312"/>
          <w:sz w:val="32"/>
          <w:szCs w:val="32"/>
        </w:rPr>
        <w:t>长期建疆</w:t>
      </w:r>
      <w:r>
        <w:rPr>
          <w:rFonts w:hint="eastAsia" w:eastAsia="仿宋_GB2312"/>
          <w:sz w:val="32"/>
          <w:szCs w:val="32"/>
        </w:rPr>
        <w:t>科学内涵及其相互关系研究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关于实现社会稳定和长治久安是新时期具有许多新的历史特点伟大斗争研究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w:t>
      </w:r>
      <w:r>
        <w:rPr>
          <w:rFonts w:eastAsia="仿宋_GB2312"/>
          <w:sz w:val="32"/>
          <w:szCs w:val="32"/>
        </w:rPr>
        <w:t>稳定与发展</w:t>
      </w:r>
      <w:r>
        <w:rPr>
          <w:rFonts w:hint="eastAsia" w:eastAsia="仿宋_GB2312"/>
          <w:sz w:val="32"/>
          <w:szCs w:val="32"/>
        </w:rPr>
        <w:t>关系研究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关于新疆反恐维稳“组合拳”常态化机制研究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关于打赢意识形态领域争夺战对策研究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关于新疆维护祖国统一历史人物研究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关于构建各民族相互嵌入式社会结构和社区环境战略思想研究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关于依法管理宗教事务研究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关于去宗教极端化战略思想研究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关于西域文化和中原文化历史交往交流交融研究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关于新疆各民族在中华民族大家庭中的历史融合问题研究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eastAsia="仿宋_GB2312"/>
          <w:sz w:val="32"/>
          <w:szCs w:val="32"/>
        </w:rPr>
        <w:t>关于新疆宗教信仰与民族风俗习惯关系研究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eastAsia="仿宋_GB2312"/>
          <w:sz w:val="32"/>
          <w:szCs w:val="32"/>
        </w:rPr>
        <w:t>关于新疆推广国家通用语言文字与繁荣发展各民族文化历史经验关系研究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关于实施文化润疆工程研究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关于党中央治疆方略与群众工作研究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关于重点群体及其家庭思想教育转化研究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关于培育和践行社会主义核心价值观研究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关于新闻出版领域面临的风险挑战与管控策略研究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关于加强南疆兵团建设战略思想研究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华文楷体" w:hAnsi="华文楷体" w:eastAsia="华文楷体" w:cs="华文楷体"/>
          <w:sz w:val="32"/>
          <w:szCs w:val="32"/>
        </w:rPr>
      </w:pPr>
      <w:r>
        <w:rPr>
          <w:rFonts w:hint="eastAsia" w:eastAsia="仿宋_GB2312"/>
          <w:sz w:val="32"/>
          <w:szCs w:val="32"/>
        </w:rPr>
        <w:t>关于坚持把抓基层打基础作为稳疆安疆的长远之计和固本之举思想研究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关于深入开展“访民情、惠民生、聚民心”驻村工作战略思想研究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华文楷体"/>
          <w:sz w:val="32"/>
          <w:szCs w:val="32"/>
        </w:rPr>
      </w:pPr>
      <w:r>
        <w:rPr>
          <w:rFonts w:hint="eastAsia" w:eastAsia="仿宋_GB2312"/>
          <w:sz w:val="32"/>
          <w:szCs w:val="32"/>
        </w:rPr>
        <w:t>关于</w:t>
      </w:r>
      <w:r>
        <w:rPr>
          <w:rFonts w:eastAsia="仿宋_GB2312"/>
          <w:sz w:val="32"/>
          <w:szCs w:val="32"/>
        </w:rPr>
        <w:t>新疆防范化解重大</w:t>
      </w:r>
      <w:r>
        <w:rPr>
          <w:rFonts w:hint="eastAsia" w:eastAsia="仿宋_GB2312"/>
          <w:sz w:val="32"/>
          <w:szCs w:val="32"/>
        </w:rPr>
        <w:t>金融</w:t>
      </w:r>
      <w:r>
        <w:rPr>
          <w:rFonts w:eastAsia="仿宋_GB2312"/>
          <w:sz w:val="32"/>
          <w:szCs w:val="32"/>
        </w:rPr>
        <w:t>风险</w:t>
      </w:r>
      <w:r>
        <w:rPr>
          <w:rFonts w:hint="eastAsia" w:eastAsia="仿宋_GB2312"/>
          <w:sz w:val="32"/>
          <w:szCs w:val="32"/>
        </w:rPr>
        <w:t>对策</w:t>
      </w:r>
      <w:r>
        <w:rPr>
          <w:rFonts w:eastAsia="仿宋_GB2312"/>
          <w:sz w:val="32"/>
          <w:szCs w:val="32"/>
        </w:rPr>
        <w:t>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w:t>
      </w:r>
      <w:r>
        <w:rPr>
          <w:rFonts w:eastAsia="仿宋_GB2312"/>
          <w:sz w:val="32"/>
          <w:szCs w:val="32"/>
        </w:rPr>
        <w:t>新疆精准脱贫</w:t>
      </w:r>
      <w:r>
        <w:rPr>
          <w:rFonts w:hint="eastAsia" w:eastAsia="仿宋_GB2312"/>
          <w:sz w:val="32"/>
          <w:szCs w:val="32"/>
        </w:rPr>
        <w:t>现状、问题及对策</w:t>
      </w:r>
      <w:r>
        <w:rPr>
          <w:rFonts w:eastAsia="仿宋_GB2312"/>
          <w:sz w:val="32"/>
          <w:szCs w:val="32"/>
        </w:rPr>
        <w:t>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关于新时代</w:t>
      </w:r>
      <w:r>
        <w:rPr>
          <w:rFonts w:eastAsia="仿宋_GB2312"/>
          <w:sz w:val="32"/>
          <w:szCs w:val="32"/>
        </w:rPr>
        <w:t>新疆</w:t>
      </w:r>
      <w:r>
        <w:rPr>
          <w:rFonts w:hint="eastAsia" w:eastAsia="仿宋_GB2312"/>
          <w:sz w:val="32"/>
          <w:szCs w:val="32"/>
        </w:rPr>
        <w:t>生态文明建设</w:t>
      </w:r>
      <w:r>
        <w:rPr>
          <w:rFonts w:eastAsia="仿宋_GB2312"/>
          <w:sz w:val="32"/>
          <w:szCs w:val="32"/>
        </w:rPr>
        <w:t>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w:t>
      </w:r>
      <w:r>
        <w:rPr>
          <w:rFonts w:eastAsia="仿宋_GB2312"/>
          <w:sz w:val="32"/>
          <w:szCs w:val="32"/>
        </w:rPr>
        <w:t>改革开放40年新疆经济社会建设成就与经验</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关于讲好中国故事新疆篇章的媒介语境研究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关于我区哲学社会科学</w:t>
      </w:r>
      <w:r>
        <w:rPr>
          <w:rFonts w:eastAsia="仿宋_GB2312"/>
          <w:sz w:val="32"/>
          <w:szCs w:val="32"/>
        </w:rPr>
        <w:t>在</w:t>
      </w:r>
      <w:r>
        <w:rPr>
          <w:rFonts w:hint="eastAsia" w:eastAsia="仿宋_GB2312"/>
          <w:sz w:val="32"/>
          <w:szCs w:val="32"/>
        </w:rPr>
        <w:t>新疆总目标</w:t>
      </w:r>
      <w:r>
        <w:rPr>
          <w:rFonts w:eastAsia="仿宋_GB2312"/>
          <w:sz w:val="32"/>
          <w:szCs w:val="32"/>
        </w:rPr>
        <w:t>中的定位与作用研究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537" w:firstLineChars="168"/>
        <w:textAlignment w:val="auto"/>
        <w:outlineLvl w:val="9"/>
        <w:rPr>
          <w:rFonts w:hint="eastAsia" w:eastAsia="仿宋_GB2312"/>
          <w:sz w:val="32"/>
          <w:szCs w:val="32"/>
        </w:rPr>
      </w:pPr>
      <w:r>
        <w:rPr>
          <w:rFonts w:hint="eastAsia" w:eastAsia="黑体"/>
          <w:sz w:val="32"/>
          <w:szCs w:val="32"/>
        </w:rPr>
        <w:t>二、</w:t>
      </w:r>
      <w:r>
        <w:rPr>
          <w:rFonts w:eastAsia="黑体"/>
          <w:sz w:val="32"/>
          <w:szCs w:val="32"/>
        </w:rPr>
        <w:t>一般课题</w:t>
      </w:r>
      <w:r>
        <w:rPr>
          <w:rFonts w:hint="eastAsia" w:eastAsia="黑体"/>
          <w:sz w:val="32"/>
          <w:szCs w:val="32"/>
        </w:rPr>
        <w:t>、</w:t>
      </w:r>
      <w:r>
        <w:rPr>
          <w:rFonts w:eastAsia="黑体"/>
          <w:sz w:val="32"/>
          <w:szCs w:val="32"/>
        </w:rPr>
        <w:t>青年课题</w:t>
      </w:r>
      <w:r>
        <w:rPr>
          <w:rFonts w:eastAsia="仿宋"/>
          <w:sz w:val="32"/>
          <w:szCs w:val="32"/>
        </w:rPr>
        <w:t>（</w:t>
      </w:r>
      <w:r>
        <w:rPr>
          <w:rFonts w:hint="eastAsia" w:eastAsia="仿宋"/>
          <w:sz w:val="32"/>
          <w:szCs w:val="32"/>
        </w:rPr>
        <w:t>20</w:t>
      </w:r>
      <w:r>
        <w:rPr>
          <w:rFonts w:eastAsia="仿宋"/>
          <w:sz w:val="32"/>
          <w:szCs w:val="32"/>
        </w:rPr>
        <w:t>个）</w:t>
      </w:r>
      <w:r>
        <w:rPr>
          <w:rFonts w:hint="eastAsia" w:eastAsia="仿宋_GB2312"/>
          <w:sz w:val="32"/>
          <w:szCs w:val="32"/>
        </w:rPr>
        <w:t xml:space="preserve">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关于新疆城乡融合发展对策研究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关于新疆旅游业发展现状、问题及对策研究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关于加快南疆乡村振兴战略研究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仿宋_GB2312"/>
          <w:sz w:val="32"/>
          <w:szCs w:val="32"/>
          <w:u w:val="single"/>
        </w:rPr>
      </w:pPr>
      <w:r>
        <w:rPr>
          <w:rFonts w:hint="eastAsia" w:eastAsia="仿宋_GB2312"/>
          <w:sz w:val="32"/>
          <w:szCs w:val="32"/>
        </w:rPr>
        <w:t>关于南疆四地州深度贫困地区就业扶贫</w:t>
      </w:r>
      <w:r>
        <w:rPr>
          <w:rFonts w:eastAsia="仿宋_GB2312"/>
          <w:sz w:val="32"/>
          <w:szCs w:val="32"/>
        </w:rPr>
        <w:t>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w:t>
      </w:r>
      <w:r>
        <w:rPr>
          <w:rFonts w:eastAsia="仿宋_GB2312"/>
          <w:sz w:val="32"/>
          <w:szCs w:val="32"/>
        </w:rPr>
        <w:t>培育壮大南疆特色优势产业</w:t>
      </w:r>
      <w:r>
        <w:rPr>
          <w:rFonts w:hint="eastAsia" w:eastAsia="仿宋_GB2312"/>
          <w:sz w:val="32"/>
          <w:szCs w:val="32"/>
        </w:rPr>
        <w:t>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关于发挥贫困群体在扶贫攻坚战略中主体作用研究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w:t>
      </w:r>
      <w:r>
        <w:rPr>
          <w:rFonts w:eastAsia="仿宋_GB2312"/>
          <w:sz w:val="32"/>
          <w:szCs w:val="32"/>
        </w:rPr>
        <w:t>深化新疆供给侧结构性改革</w:t>
      </w:r>
      <w:r>
        <w:rPr>
          <w:rFonts w:hint="eastAsia" w:eastAsia="仿宋_GB2312"/>
          <w:sz w:val="32"/>
          <w:szCs w:val="32"/>
        </w:rPr>
        <w:t>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eastAsia="楷体"/>
          <w:sz w:val="32"/>
          <w:szCs w:val="32"/>
        </w:rPr>
      </w:pPr>
      <w:r>
        <w:rPr>
          <w:rFonts w:hint="eastAsia" w:eastAsia="仿宋_GB2312"/>
          <w:sz w:val="32"/>
          <w:szCs w:val="32"/>
        </w:rPr>
        <w:t>关于构建新时代乡村治理体系研究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关于强化党的自我监督和群众监督研究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关于“一带一路”建设中新疆深度推进丝绸之路经济带核心区建设研究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关于“一带一路”建设中新疆加强</w:t>
      </w:r>
      <w:r>
        <w:rPr>
          <w:rFonts w:eastAsia="仿宋_GB2312"/>
          <w:sz w:val="32"/>
          <w:szCs w:val="32"/>
        </w:rPr>
        <w:fldChar w:fldCharType="begin"/>
      </w:r>
      <w:r>
        <w:rPr>
          <w:rFonts w:eastAsia="仿宋_GB2312"/>
          <w:sz w:val="32"/>
          <w:szCs w:val="32"/>
        </w:rPr>
        <w:instrText xml:space="preserve"> HYPERLINK "http://www.so.com/link?m=at+HeyGKK9jqBbKyQmhT9LZosFBQeidISwBgKNH8qs54yNWl0NJjrq/Pr7+LrHexuBTaMnz2TTPGmRzrCOuodgFYqhdEckBS6Wk702faplveyN95nPVPl3RKVvDXK9zTY8nUldsBkV+fbYk2im4CQTYsEYXg5gahrFSXFssebM45o/0ggEaU4ZUP3JzHGWAtgj7cfi3PN8lMHbr2016YcpVca+aurSbasUXEZ56NdYOvT4CIyDvDgztxGWrs=" \t "https://www.so.com/_blank" </w:instrText>
      </w:r>
      <w:r>
        <w:rPr>
          <w:rFonts w:eastAsia="仿宋_GB2312"/>
          <w:sz w:val="32"/>
          <w:szCs w:val="32"/>
        </w:rPr>
        <w:fldChar w:fldCharType="separate"/>
      </w:r>
      <w:r>
        <w:rPr>
          <w:rFonts w:eastAsia="仿宋_GB2312"/>
          <w:sz w:val="32"/>
          <w:szCs w:val="32"/>
        </w:rPr>
        <w:t>对外文化交流机制研究</w:t>
      </w:r>
      <w:r>
        <w:rPr>
          <w:rFonts w:eastAsia="仿宋_GB2312"/>
          <w:sz w:val="32"/>
          <w:szCs w:val="32"/>
        </w:rPr>
        <w:fldChar w:fldCharType="end"/>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关于乡村振兴战略与新疆农村基本经营制度对策研究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w:t>
      </w:r>
      <w:r>
        <w:rPr>
          <w:rFonts w:eastAsia="仿宋_GB2312"/>
          <w:sz w:val="32"/>
          <w:szCs w:val="32"/>
        </w:rPr>
        <w:t>伊斯兰教</w:t>
      </w:r>
      <w:r>
        <w:rPr>
          <w:rFonts w:hint="eastAsia" w:eastAsia="仿宋_GB2312"/>
          <w:sz w:val="32"/>
          <w:szCs w:val="32"/>
        </w:rPr>
        <w:t>发展现状、问题及对策</w:t>
      </w:r>
      <w:r>
        <w:rPr>
          <w:rFonts w:eastAsia="仿宋_GB2312"/>
          <w:sz w:val="32"/>
          <w:szCs w:val="32"/>
        </w:rPr>
        <w:t>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关于新疆“三期叠加”背景下宣传思想工作的特点与规律研究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关于深入推进发声亮剑活动常态化长效化机制研究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关于防范境外宗教渗透对策研究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关于“三期叠加”背景下网络管控实践经验研究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社会思潮跟踪分析和有效引导研究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关于新疆主流媒体舆论引导效果研究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关于新疆高校意识形态工作研究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hint="eastAsia" w:eastAsia="仿宋_GB2312"/>
          <w:sz w:val="32"/>
          <w:szCs w:val="32"/>
        </w:rPr>
      </w:pPr>
      <w:r>
        <w:rPr>
          <w:rFonts w:hint="eastAsia" w:eastAsia="黑体"/>
          <w:sz w:val="32"/>
          <w:szCs w:val="32"/>
        </w:rPr>
        <w:t>三、</w:t>
      </w:r>
      <w:r>
        <w:rPr>
          <w:rFonts w:eastAsia="黑体"/>
          <w:sz w:val="32"/>
          <w:szCs w:val="32"/>
        </w:rPr>
        <w:t>自</w:t>
      </w:r>
      <w:r>
        <w:rPr>
          <w:rFonts w:hint="eastAsia" w:eastAsia="黑体"/>
          <w:sz w:val="32"/>
          <w:szCs w:val="32"/>
        </w:rPr>
        <w:t>筹</w:t>
      </w:r>
      <w:r>
        <w:rPr>
          <w:rFonts w:eastAsia="黑体"/>
          <w:sz w:val="32"/>
          <w:szCs w:val="32"/>
        </w:rPr>
        <w:t>课题（</w:t>
      </w:r>
      <w:r>
        <w:rPr>
          <w:rFonts w:hint="eastAsia" w:eastAsia="仿宋"/>
          <w:sz w:val="32"/>
          <w:szCs w:val="32"/>
        </w:rPr>
        <w:t>6个</w:t>
      </w:r>
      <w:r>
        <w:rPr>
          <w:rFonts w:eastAsia="仿宋"/>
          <w:sz w:val="32"/>
          <w:szCs w:val="32"/>
        </w:rPr>
        <w:t>）</w:t>
      </w:r>
      <w:r>
        <w:rPr>
          <w:rFonts w:hint="eastAsia" w:eastAsia="仿宋_GB2312"/>
          <w:sz w:val="32"/>
          <w:szCs w:val="32"/>
        </w:rPr>
        <w:t xml:space="preserve"> </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eastAsia="仿宋_GB2312"/>
          <w:sz w:val="32"/>
          <w:szCs w:val="32"/>
        </w:rPr>
      </w:pPr>
      <w:r>
        <w:rPr>
          <w:rFonts w:hint="eastAsia" w:eastAsia="仿宋_GB2312"/>
          <w:sz w:val="32"/>
          <w:szCs w:val="32"/>
        </w:rPr>
        <w:t>关于</w:t>
      </w:r>
      <w:r>
        <w:rPr>
          <w:rFonts w:eastAsia="仿宋_GB2312"/>
          <w:sz w:val="32"/>
          <w:szCs w:val="32"/>
        </w:rPr>
        <w:t>健全完善新疆现代产业体系研究</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eastAsia="仿宋_GB2312"/>
          <w:sz w:val="32"/>
          <w:szCs w:val="32"/>
        </w:rPr>
      </w:pPr>
      <w:r>
        <w:rPr>
          <w:rFonts w:hint="eastAsia" w:eastAsia="仿宋_GB2312"/>
          <w:sz w:val="32"/>
          <w:szCs w:val="32"/>
        </w:rPr>
        <w:t>关于新疆大学生社会责任教育运行机制研究</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hint="eastAsia" w:eastAsia="仿宋_GB2312"/>
          <w:sz w:val="32"/>
          <w:szCs w:val="32"/>
        </w:rPr>
      </w:pPr>
      <w:r>
        <w:rPr>
          <w:rFonts w:hint="eastAsia" w:eastAsia="仿宋_GB2312"/>
          <w:sz w:val="32"/>
          <w:szCs w:val="32"/>
        </w:rPr>
        <w:t>关于新疆</w:t>
      </w:r>
      <w:r>
        <w:rPr>
          <w:rFonts w:eastAsia="仿宋_GB2312"/>
          <w:sz w:val="32"/>
          <w:szCs w:val="32"/>
        </w:rPr>
        <w:t>社交媒体互动风险传播与引导研究</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eastAsia="仿宋_GB2312"/>
          <w:sz w:val="32"/>
          <w:szCs w:val="32"/>
        </w:rPr>
      </w:pPr>
      <w:r>
        <w:rPr>
          <w:rFonts w:hint="eastAsia" w:eastAsia="仿宋_GB2312"/>
          <w:sz w:val="32"/>
          <w:szCs w:val="32"/>
        </w:rPr>
        <w:t>关于我区哲学社会科学发展现状、问题及对策研究</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hint="eastAsia" w:eastAsia="仿宋_GB2312"/>
          <w:sz w:val="32"/>
          <w:szCs w:val="32"/>
        </w:rPr>
      </w:pPr>
      <w:r>
        <w:rPr>
          <w:rFonts w:hint="eastAsia" w:eastAsia="仿宋_GB2312"/>
          <w:sz w:val="32"/>
          <w:szCs w:val="32"/>
        </w:rPr>
        <w:t>关于我区理论工作“五大平台”（</w:t>
      </w:r>
      <w:r>
        <w:rPr>
          <w:rFonts w:eastAsia="仿宋_GB2312"/>
          <w:sz w:val="32"/>
          <w:szCs w:val="32"/>
        </w:rPr>
        <w:t>马克思主义理论研究和建设工程、中国特色社会主义理论体系研究中心、马克思主义学院、报刊网络理论宣传阵地</w:t>
      </w:r>
      <w:r>
        <w:rPr>
          <w:rFonts w:hint="eastAsia" w:eastAsia="仿宋_GB2312"/>
          <w:sz w:val="32"/>
          <w:szCs w:val="32"/>
        </w:rPr>
        <w:t>、</w:t>
      </w:r>
      <w:r>
        <w:rPr>
          <w:rFonts w:eastAsia="仿宋_GB2312"/>
          <w:sz w:val="32"/>
          <w:szCs w:val="32"/>
        </w:rPr>
        <w:t>党中央治疆方略理论与实践研究中</w:t>
      </w:r>
      <w:r>
        <w:rPr>
          <w:rFonts w:ascii="仿宋" w:hAnsi="仿宋" w:eastAsia="仿宋" w:cs="仿宋"/>
          <w:sz w:val="32"/>
          <w:szCs w:val="32"/>
        </w:rPr>
        <w:t>心</w:t>
      </w:r>
      <w:r>
        <w:rPr>
          <w:rFonts w:hint="eastAsia" w:ascii="仿宋" w:hAnsi="仿宋" w:eastAsia="仿宋" w:cs="仿宋"/>
          <w:sz w:val="32"/>
          <w:szCs w:val="32"/>
        </w:rPr>
        <w:t>）发展</w:t>
      </w:r>
      <w:r>
        <w:rPr>
          <w:rFonts w:hint="eastAsia" w:eastAsia="仿宋_GB2312"/>
          <w:sz w:val="32"/>
          <w:szCs w:val="32"/>
        </w:rPr>
        <w:t>现状、问题及对策研究</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720" w:firstLineChars="225"/>
        <w:textAlignment w:val="auto"/>
        <w:outlineLvl w:val="9"/>
        <w:rPr>
          <w:rFonts w:eastAsia="仿宋_GB2312"/>
          <w:sz w:val="32"/>
          <w:szCs w:val="32"/>
        </w:rPr>
      </w:pPr>
      <w:r>
        <w:rPr>
          <w:rFonts w:hint="eastAsia" w:eastAsia="仿宋_GB2312"/>
          <w:sz w:val="32"/>
          <w:szCs w:val="32"/>
        </w:rPr>
        <w:t>关于“双泛”错误思潮对新疆青年群体的现实危害及应对研究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eastAsia="仿宋_GB2312"/>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eastAsia="仿宋_GB2312"/>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pPr>
        <w:spacing w:line="600" w:lineRule="exact"/>
        <w:ind w:firstLine="640"/>
        <w:rPr>
          <w:rFonts w:hint="eastAsia"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77A7"/>
    <w:multiLevelType w:val="singleLevel"/>
    <w:tmpl w:val="5AB477A7"/>
    <w:lvl w:ilvl="0" w:tentative="0">
      <w:start w:val="1"/>
      <w:numFmt w:val="chineseCounting"/>
      <w:suff w:val="nothing"/>
      <w:lvlText w:val="%1、"/>
      <w:lvlJc w:val="left"/>
    </w:lvl>
  </w:abstractNum>
  <w:abstractNum w:abstractNumId="1">
    <w:nsid w:val="5ACDBC62"/>
    <w:multiLevelType w:val="singleLevel"/>
    <w:tmpl w:val="5ACDBC62"/>
    <w:lvl w:ilvl="0" w:tentative="0">
      <w:start w:val="1"/>
      <w:numFmt w:val="decimal"/>
      <w:suff w:val="nothing"/>
      <w:lvlText w:val="%1."/>
      <w:lvlJc w:val="left"/>
    </w:lvl>
  </w:abstractNum>
  <w:abstractNum w:abstractNumId="2">
    <w:nsid w:val="5ACDBD84"/>
    <w:multiLevelType w:val="singleLevel"/>
    <w:tmpl w:val="5ACDBD84"/>
    <w:lvl w:ilvl="0" w:tentative="0">
      <w:start w:val="1"/>
      <w:numFmt w:val="decimal"/>
      <w:suff w:val="nothing"/>
      <w:lvlText w:val="%1."/>
      <w:lvlJc w:val="left"/>
    </w:lvl>
  </w:abstractNum>
  <w:abstractNum w:abstractNumId="3">
    <w:nsid w:val="5ACDC0A1"/>
    <w:multiLevelType w:val="singleLevel"/>
    <w:tmpl w:val="5ACDC0A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8217A"/>
    <w:rsid w:val="604821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2018-06-25T07:45:00Z</dcterms:created>
  <dc:creator>心香</dc:creator>
  <cp:lastModifiedBy>心香</cp:lastModifiedBy>
  <dcterms:modified xsi:type="dcterms:W3CDTF">2018-06-25T07:46:03Z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